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6A08A1" w14:textId="0CF77BD3" w:rsidR="00C52AFC" w:rsidRDefault="005622C2" w:rsidP="002E7BE7">
      <w:pPr>
        <w:pStyle w:val="Ttulo1"/>
        <w:rPr>
          <w:lang w:val="es-ES"/>
        </w:rPr>
      </w:pPr>
      <w:r>
        <w:rPr>
          <w:lang w:val="es-ES"/>
        </w:rPr>
        <w:t>Microempresas</w:t>
      </w:r>
      <w:r w:rsidR="001F5811">
        <w:rPr>
          <w:lang w:val="es-ES"/>
        </w:rPr>
        <w:t xml:space="preserve"> en las ZOMAC</w:t>
      </w:r>
      <w:r w:rsidR="004E59C9">
        <w:rPr>
          <w:lang w:val="es-ES"/>
        </w:rPr>
        <w:t xml:space="preserve">: </w:t>
      </w:r>
      <w:r w:rsidR="00926250">
        <w:rPr>
          <w:lang w:val="es-ES"/>
        </w:rPr>
        <w:t>a partir del año gravable 202</w:t>
      </w:r>
      <w:r w:rsidR="00EA26EB">
        <w:rPr>
          <w:lang w:val="es-ES"/>
        </w:rPr>
        <w:t>5</w:t>
      </w:r>
      <w:r w:rsidR="00926250">
        <w:rPr>
          <w:lang w:val="es-ES"/>
        </w:rPr>
        <w:t xml:space="preserve"> les cambiará la tributación en el impuesto de renta</w:t>
      </w:r>
    </w:p>
    <w:p w14:paraId="17DA0B8A" w14:textId="0F56A2C2" w:rsidR="00926250" w:rsidRDefault="0074699C">
      <w:pPr>
        <w:rPr>
          <w:lang w:val="es-ES"/>
        </w:rPr>
      </w:pPr>
      <w:r>
        <w:rPr>
          <w:noProof/>
        </w:rPr>
        <mc:AlternateContent>
          <mc:Choice Requires="wps">
            <w:drawing>
              <wp:anchor distT="0" distB="0" distL="114300" distR="114300" simplePos="0" relativeHeight="251659264" behindDoc="0" locked="0" layoutInCell="1" allowOverlap="1" wp14:anchorId="3A335573" wp14:editId="6B611879">
                <wp:simplePos x="0" y="0"/>
                <wp:positionH relativeFrom="column">
                  <wp:posOffset>-635</wp:posOffset>
                </wp:positionH>
                <wp:positionV relativeFrom="paragraph">
                  <wp:posOffset>339320</wp:posOffset>
                </wp:positionV>
                <wp:extent cx="5372100" cy="912495"/>
                <wp:effectExtent l="0" t="0" r="0" b="1905"/>
                <wp:wrapSquare wrapText="bothSides"/>
                <wp:docPr id="1" name="Cuadro de texto 1"/>
                <wp:cNvGraphicFramePr/>
                <a:graphic xmlns:a="http://schemas.openxmlformats.org/drawingml/2006/main">
                  <a:graphicData uri="http://schemas.microsoft.com/office/word/2010/wordprocessingShape">
                    <wps:wsp>
                      <wps:cNvSpPr txBox="1"/>
                      <wps:spPr>
                        <a:xfrm>
                          <a:off x="0" y="0"/>
                          <a:ext cx="5372100" cy="91249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8C9ACAB" w14:textId="179DC5DD" w:rsidR="004E59C9" w:rsidRPr="004E59C9" w:rsidRDefault="004E59C9" w:rsidP="002E7BE7">
                            <w:pPr>
                              <w:pBdr>
                                <w:top w:val="single" w:sz="4" w:space="1" w:color="auto"/>
                                <w:left w:val="single" w:sz="4" w:space="4" w:color="auto"/>
                                <w:bottom w:val="single" w:sz="4" w:space="1" w:color="auto"/>
                                <w:right w:val="single" w:sz="4" w:space="4" w:color="auto"/>
                              </w:pBdr>
                              <w:rPr>
                                <w:lang w:val="es-ES"/>
                              </w:rPr>
                            </w:pPr>
                            <w:r>
                              <w:rPr>
                                <w:lang w:val="es-ES"/>
                              </w:rPr>
                              <w:t>El artículo 237 de la Ley 1819 de 2016 establece que las micro y peque</w:t>
                            </w:r>
                            <w:r w:rsidR="002E7BE7">
                              <w:rPr>
                                <w:lang w:val="es-ES"/>
                              </w:rPr>
                              <w:t xml:space="preserve">ñas empresas ya no tributarán con el </w:t>
                            </w:r>
                            <w:r w:rsidR="005622C2">
                              <w:rPr>
                                <w:lang w:val="es-ES"/>
                              </w:rPr>
                              <w:t>25</w:t>
                            </w:r>
                            <w:r w:rsidR="002E7BE7">
                              <w:rPr>
                                <w:lang w:val="es-ES"/>
                              </w:rPr>
                              <w:t xml:space="preserve">% sino con el </w:t>
                            </w:r>
                            <w:r w:rsidR="005622C2">
                              <w:rPr>
                                <w:lang w:val="es-ES"/>
                              </w:rPr>
                              <w:t>50</w:t>
                            </w:r>
                            <w:r w:rsidR="002E7BE7">
                              <w:rPr>
                                <w:lang w:val="es-ES"/>
                              </w:rPr>
                              <w:t>% de la tarifa general durante los años 202</w:t>
                            </w:r>
                            <w:r w:rsidR="005622C2">
                              <w:rPr>
                                <w:lang w:val="es-ES"/>
                              </w:rPr>
                              <w:t>5</w:t>
                            </w:r>
                            <w:r w:rsidR="002E7BE7">
                              <w:rPr>
                                <w:lang w:val="es-ES"/>
                              </w:rPr>
                              <w:t xml:space="preserve"> a 202</w:t>
                            </w:r>
                            <w:r w:rsidR="005622C2">
                              <w:rPr>
                                <w:lang w:val="es-ES"/>
                              </w:rPr>
                              <w:t>7</w:t>
                            </w:r>
                            <w:r w:rsidR="002E7BE7">
                              <w:rPr>
                                <w:lang w:val="es-ES"/>
                              </w:rPr>
                              <w:t xml:space="preserve"> lo cual también afectará las autorretenciones que se deberán practicar y las retenciones que les practicarán los clientes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A335573" id="_x0000_t202" coordsize="21600,21600" o:spt="202" path="m,l,21600r21600,l21600,xe">
                <v:stroke joinstyle="miter"/>
                <v:path gradientshapeok="t" o:connecttype="rect"/>
              </v:shapetype>
              <v:shape id="Cuadro de texto 1" o:spid="_x0000_s1026" type="#_x0000_t202" style="position:absolute;margin-left:-.05pt;margin-top:26.7pt;width:423pt;height:71.8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" filled="f" stroked="f">
                <v:textbox>
                  <w:txbxContent>
                    <w:p w14:paraId="68C9ACAB" w14:textId="179DC5DD" w:rsidR="004E59C9" w:rsidRPr="004E59C9" w:rsidRDefault="004E59C9" w:rsidP="002E7BE7">
                      <w:pPr>
                        <w:pBdr>
                          <w:top w:val="single" w:sz="4" w:space="1" w:color="auto"/>
                          <w:left w:val="single" w:sz="4" w:space="4" w:color="auto"/>
                          <w:bottom w:val="single" w:sz="4" w:space="1" w:color="auto"/>
                          <w:right w:val="single" w:sz="4" w:space="4" w:color="auto"/>
                        </w:pBdr>
                        <w:rPr>
                          <w:lang w:val="es-ES"/>
                        </w:rPr>
                      </w:pPr>
                      <w:r>
                        <w:rPr>
                          <w:lang w:val="es-ES"/>
                        </w:rPr>
                        <w:t>El artículo 237 de la Ley 1819 de 2016 establece que las micro y peque</w:t>
                      </w:r>
                      <w:r w:rsidR="002E7BE7">
                        <w:rPr>
                          <w:lang w:val="es-ES"/>
                        </w:rPr>
                        <w:t xml:space="preserve">ñas empresas ya no tributarán con el </w:t>
                      </w:r>
                      <w:r w:rsidR="005622C2">
                        <w:rPr>
                          <w:lang w:val="es-ES"/>
                        </w:rPr>
                        <w:t>25</w:t>
                      </w:r>
                      <w:r w:rsidR="002E7BE7">
                        <w:rPr>
                          <w:lang w:val="es-ES"/>
                        </w:rPr>
                        <w:t xml:space="preserve">% sino con el </w:t>
                      </w:r>
                      <w:r w:rsidR="005622C2">
                        <w:rPr>
                          <w:lang w:val="es-ES"/>
                        </w:rPr>
                        <w:t>50</w:t>
                      </w:r>
                      <w:r w:rsidR="002E7BE7">
                        <w:rPr>
                          <w:lang w:val="es-ES"/>
                        </w:rPr>
                        <w:t>% de la tarifa general durante los años 202</w:t>
                      </w:r>
                      <w:r w:rsidR="005622C2">
                        <w:rPr>
                          <w:lang w:val="es-ES"/>
                        </w:rPr>
                        <w:t>5</w:t>
                      </w:r>
                      <w:r w:rsidR="002E7BE7">
                        <w:rPr>
                          <w:lang w:val="es-ES"/>
                        </w:rPr>
                        <w:t xml:space="preserve"> a 202</w:t>
                      </w:r>
                      <w:r w:rsidR="005622C2">
                        <w:rPr>
                          <w:lang w:val="es-ES"/>
                        </w:rPr>
                        <w:t>7</w:t>
                      </w:r>
                      <w:r w:rsidR="002E7BE7">
                        <w:rPr>
                          <w:lang w:val="es-ES"/>
                        </w:rPr>
                        <w:t xml:space="preserve"> lo cual también afectará las autorretenciones que se deberán practicar y las retenciones que les practicarán los clientes</w:t>
                      </w:r>
                    </w:p>
                  </w:txbxContent>
                </v:textbox>
                <w10:wrap type="square"/>
              </v:shape>
            </w:pict>
          </mc:Fallback>
        </mc:AlternateContent>
      </w:r>
      <w:r>
        <w:rPr>
          <w:lang w:val="es-ES"/>
        </w:rPr>
        <w:t>(</w:t>
      </w:r>
      <w:r w:rsidRPr="0074699C">
        <w:rPr>
          <w:color w:val="FF0000"/>
          <w:lang w:val="es-ES"/>
        </w:rPr>
        <w:t>Elaborado en noviembre de 2024)</w:t>
      </w:r>
    </w:p>
    <w:p w14:paraId="22F97B23" w14:textId="1AE54223" w:rsidR="00926250" w:rsidRDefault="004D23BF">
      <w:pPr>
        <w:rPr>
          <w:lang w:val="es-ES"/>
        </w:rPr>
      </w:pPr>
      <w:r>
        <w:rPr>
          <w:lang w:val="es-ES"/>
        </w:rPr>
        <w:t xml:space="preserve">De acuerdo con los </w:t>
      </w:r>
      <w:hyperlink r:id="rId5" w:anchor="235" w:history="1">
        <w:r w:rsidRPr="006563C5">
          <w:rPr>
            <w:rStyle w:val="Hipervnculo"/>
            <w:lang w:val="es-ES"/>
          </w:rPr>
          <w:t>artículos 235 a 237 de la Ley 1819 de diciembre de 2016</w:t>
        </w:r>
      </w:hyperlink>
      <w:r>
        <w:rPr>
          <w:lang w:val="es-ES"/>
        </w:rPr>
        <w:t xml:space="preserve">, </w:t>
      </w:r>
      <w:hyperlink r:id="rId6" w:history="1">
        <w:r w:rsidRPr="00056448">
          <w:rPr>
            <w:rStyle w:val="Hipervnculo"/>
            <w:lang w:val="es-ES"/>
          </w:rPr>
          <w:t>reglamentados luego con el Decreto 1650 de octubre 9 de 2017</w:t>
        </w:r>
      </w:hyperlink>
      <w:r>
        <w:rPr>
          <w:lang w:val="es-ES"/>
        </w:rPr>
        <w:t>, las nuevas sociedades que se instalen en cualquiera de los 344 municipios catalogados como ZOMA</w:t>
      </w:r>
      <w:r w:rsidR="00056448">
        <w:rPr>
          <w:lang w:val="es-ES"/>
        </w:rPr>
        <w:t>C (Zonas más Afectadas por el C</w:t>
      </w:r>
      <w:r>
        <w:rPr>
          <w:lang w:val="es-ES"/>
        </w:rPr>
        <w:t>onf</w:t>
      </w:r>
      <w:r w:rsidR="00056448">
        <w:rPr>
          <w:lang w:val="es-ES"/>
        </w:rPr>
        <w:t>l</w:t>
      </w:r>
      <w:r>
        <w:rPr>
          <w:lang w:val="es-ES"/>
        </w:rPr>
        <w:t xml:space="preserve">icto Armado) tienen una tributación especial en el impuesto de renta </w:t>
      </w:r>
      <w:r w:rsidR="00056448">
        <w:rPr>
          <w:lang w:val="es-ES"/>
        </w:rPr>
        <w:t xml:space="preserve">del régimen ordinario </w:t>
      </w:r>
      <w:r>
        <w:rPr>
          <w:lang w:val="es-ES"/>
        </w:rPr>
        <w:t>entre los años 2017 a 2027</w:t>
      </w:r>
      <w:r w:rsidR="00056448">
        <w:rPr>
          <w:lang w:val="es-ES"/>
        </w:rPr>
        <w:t xml:space="preserve"> pero justamente</w:t>
      </w:r>
      <w:r>
        <w:rPr>
          <w:lang w:val="es-ES"/>
        </w:rPr>
        <w:t xml:space="preserve"> dicha tributación tendrá un cambio especial a partir del año gravable 202</w:t>
      </w:r>
      <w:r w:rsidR="006563C5">
        <w:rPr>
          <w:lang w:val="es-ES"/>
        </w:rPr>
        <w:t>5</w:t>
      </w:r>
      <w:r w:rsidR="002E7BE7">
        <w:rPr>
          <w:lang w:val="es-ES"/>
        </w:rPr>
        <w:t>.</w:t>
      </w:r>
    </w:p>
    <w:p w14:paraId="5369E178" w14:textId="77777777" w:rsidR="004D23BF" w:rsidRDefault="004D23BF">
      <w:pPr>
        <w:rPr>
          <w:lang w:val="es-ES"/>
        </w:rPr>
      </w:pPr>
    </w:p>
    <w:p w14:paraId="1FFBA3D2" w14:textId="1D56D89D" w:rsidR="004D23BF" w:rsidRDefault="004D23BF">
      <w:pPr>
        <w:rPr>
          <w:lang w:val="es-ES"/>
        </w:rPr>
      </w:pPr>
      <w:r>
        <w:rPr>
          <w:lang w:val="es-ES"/>
        </w:rPr>
        <w:t xml:space="preserve">En efecto, en la norma del </w:t>
      </w:r>
      <w:hyperlink r:id="rId7" w:anchor="237" w:history="1">
        <w:r w:rsidRPr="006563C5">
          <w:rPr>
            <w:rStyle w:val="Hipervnculo"/>
            <w:lang w:val="es-ES"/>
          </w:rPr>
          <w:t>artículo 237 de la Ley 1819 de 2016</w:t>
        </w:r>
      </w:hyperlink>
      <w:r>
        <w:rPr>
          <w:lang w:val="es-ES"/>
        </w:rPr>
        <w:t xml:space="preserve"> se lee lo siguiente:</w:t>
      </w:r>
    </w:p>
    <w:p w14:paraId="610EBF33" w14:textId="77777777" w:rsidR="004D23BF" w:rsidRDefault="004D23BF">
      <w:pPr>
        <w:rPr>
          <w:lang w:val="es-ES"/>
        </w:rPr>
      </w:pPr>
    </w:p>
    <w:p w14:paraId="124F467A" w14:textId="05B8DFCB" w:rsidR="004D23BF" w:rsidRPr="00056448" w:rsidRDefault="00056448" w:rsidP="00056448">
      <w:pPr>
        <w:rPr>
          <w:i/>
          <w:color w:val="0070C0"/>
          <w:lang w:val="es-ES"/>
        </w:rPr>
      </w:pPr>
      <w:bookmarkStart w:id="0" w:name="237"/>
      <w:r w:rsidRPr="00056448">
        <w:rPr>
          <w:i/>
          <w:color w:val="0070C0"/>
          <w:lang w:val="es-ES"/>
        </w:rPr>
        <w:t>“</w:t>
      </w:r>
      <w:r w:rsidR="004D23BF" w:rsidRPr="00056448">
        <w:rPr>
          <w:i/>
          <w:color w:val="0070C0"/>
          <w:lang w:val="es-ES"/>
        </w:rPr>
        <w:t>ARTÍCULO 237. RÉGIMEN DE TRIBUTACIÓN DE LAS NUEVAS SOCIEDADES QUE INICIEN ACTIVIDADES EN LAS ZOMAC. </w:t>
      </w:r>
      <w:bookmarkEnd w:id="0"/>
      <w:r w:rsidR="004D23BF" w:rsidRPr="00056448">
        <w:rPr>
          <w:i/>
          <w:color w:val="0070C0"/>
          <w:lang w:val="es-ES"/>
        </w:rPr>
        <w:t xml:space="preserve">Las nuevas sociedades, que sean micro, pequeñas, medianas y grandes empresas, que tengan su domicilio principal y desarrollen toda su actividad económica en las </w:t>
      </w:r>
      <w:proofErr w:type="spellStart"/>
      <w:r w:rsidR="004D23BF" w:rsidRPr="00056448">
        <w:rPr>
          <w:i/>
          <w:color w:val="0070C0"/>
          <w:lang w:val="es-ES"/>
        </w:rPr>
        <w:t>Zomac</w:t>
      </w:r>
      <w:proofErr w:type="spellEnd"/>
      <w:r w:rsidR="004D23BF" w:rsidRPr="00056448">
        <w:rPr>
          <w:i/>
          <w:color w:val="0070C0"/>
          <w:lang w:val="es-ES"/>
        </w:rPr>
        <w:t>, y que cumplan con los montos mínimos de inversión y de generación de empleo que defina el Gobierno nacional, cumplirán las obligaciones tributarias sustantivas correspondientes al impuesto sobre la renta y complementarios, siguiendo los parámetros que se mencionan a continuación:</w:t>
      </w:r>
    </w:p>
    <w:p w14:paraId="206E3328" w14:textId="77777777" w:rsidR="00056448" w:rsidRPr="00056448" w:rsidRDefault="00056448" w:rsidP="00056448">
      <w:pPr>
        <w:rPr>
          <w:i/>
          <w:color w:val="0070C0"/>
          <w:lang w:val="es-ES"/>
        </w:rPr>
      </w:pPr>
    </w:p>
    <w:p w14:paraId="064F7065" w14:textId="77777777" w:rsidR="004D23BF" w:rsidRPr="00056448" w:rsidRDefault="004D23BF" w:rsidP="00056448">
      <w:pPr>
        <w:rPr>
          <w:i/>
          <w:color w:val="0070C0"/>
          <w:lang w:val="es-ES"/>
        </w:rPr>
      </w:pPr>
      <w:r w:rsidRPr="00056448">
        <w:rPr>
          <w:i/>
          <w:color w:val="0070C0"/>
          <w:lang w:val="es-ES"/>
        </w:rPr>
        <w:t xml:space="preserve">a) La tarifa del impuesto sobre la renta y complementarios de las nuevas sociedades, que sean micro y pequeñas empresas, que inicien sus actividades en las </w:t>
      </w:r>
      <w:proofErr w:type="spellStart"/>
      <w:r w:rsidRPr="00056448">
        <w:rPr>
          <w:i/>
          <w:color w:val="0070C0"/>
          <w:lang w:val="es-ES"/>
        </w:rPr>
        <w:t>Zomac</w:t>
      </w:r>
      <w:proofErr w:type="spellEnd"/>
      <w:r w:rsidRPr="00056448">
        <w:rPr>
          <w:i/>
          <w:color w:val="0070C0"/>
          <w:lang w:val="es-ES"/>
        </w:rPr>
        <w:t xml:space="preserve"> por los años 2017 a 2021 será del 0%; por los </w:t>
      </w:r>
      <w:r w:rsidRPr="006563C5">
        <w:rPr>
          <w:bCs/>
          <w:i/>
          <w:color w:val="0070C0"/>
          <w:lang w:val="es-ES"/>
        </w:rPr>
        <w:t>años 2022 a 2024</w:t>
      </w:r>
      <w:r w:rsidRPr="00056448">
        <w:rPr>
          <w:i/>
          <w:color w:val="0070C0"/>
          <w:lang w:val="es-ES"/>
        </w:rPr>
        <w:t xml:space="preserve"> la tarifa será del 25% de la tarifa general del impuesto sobre la renta para personas jurídicas o asimiladas; </w:t>
      </w:r>
      <w:r w:rsidRPr="006563C5">
        <w:rPr>
          <w:b/>
          <w:bCs/>
          <w:i/>
          <w:color w:val="0070C0"/>
          <w:u w:val="single"/>
          <w:lang w:val="es-ES"/>
        </w:rPr>
        <w:t>para los años 2025 a 2027</w:t>
      </w:r>
      <w:r w:rsidRPr="00056448">
        <w:rPr>
          <w:i/>
          <w:color w:val="0070C0"/>
          <w:lang w:val="es-ES"/>
        </w:rPr>
        <w:t xml:space="preserve"> la tarifa será del 50% de la tarifa general; en adelante tributarán a la tarifa general;</w:t>
      </w:r>
    </w:p>
    <w:p w14:paraId="3EAD5927" w14:textId="77777777" w:rsidR="00056448" w:rsidRPr="00056448" w:rsidRDefault="00056448" w:rsidP="00056448">
      <w:pPr>
        <w:rPr>
          <w:i/>
          <w:color w:val="0070C0"/>
          <w:lang w:val="es-ES"/>
        </w:rPr>
      </w:pPr>
    </w:p>
    <w:p w14:paraId="30977D67" w14:textId="0CD417BA" w:rsidR="004D23BF" w:rsidRPr="00056448" w:rsidRDefault="004D23BF" w:rsidP="00056448">
      <w:pPr>
        <w:rPr>
          <w:i/>
          <w:color w:val="0070C0"/>
          <w:lang w:val="es-ES"/>
        </w:rPr>
      </w:pPr>
      <w:r w:rsidRPr="00056448">
        <w:rPr>
          <w:i/>
          <w:color w:val="0070C0"/>
          <w:lang w:val="es-ES"/>
        </w:rPr>
        <w:t xml:space="preserve">b) La tarifa del impuesto sobre la renta y complementarios de las nuevas sociedades, que sean medianas y grandes empresas, que inicien sus actividades en las </w:t>
      </w:r>
      <w:proofErr w:type="spellStart"/>
      <w:r w:rsidRPr="00056448">
        <w:rPr>
          <w:i/>
          <w:color w:val="0070C0"/>
          <w:lang w:val="es-ES"/>
        </w:rPr>
        <w:t>Zomac</w:t>
      </w:r>
      <w:proofErr w:type="spellEnd"/>
      <w:r w:rsidRPr="00056448">
        <w:rPr>
          <w:i/>
          <w:color w:val="0070C0"/>
          <w:lang w:val="es-ES"/>
        </w:rPr>
        <w:t xml:space="preserve"> por los años 2017 a 2021 será del 50% de la tarifa general del impuesto sobre la renta y complementarios para personas jurídicas o asimiladas; por </w:t>
      </w:r>
      <w:r w:rsidRPr="005622C2">
        <w:rPr>
          <w:bCs/>
          <w:i/>
          <w:color w:val="0070C0"/>
          <w:lang w:val="es-ES"/>
        </w:rPr>
        <w:t>los años 2022 a 2027</w:t>
      </w:r>
      <w:r w:rsidRPr="00056448">
        <w:rPr>
          <w:i/>
          <w:color w:val="0070C0"/>
          <w:lang w:val="es-ES"/>
        </w:rPr>
        <w:t xml:space="preserve"> la tarifa será del 75% de la tarifa general; en adelante las nuevas grandes sociedades tributarán a la tarifa general.</w:t>
      </w:r>
      <w:r w:rsidR="00056448">
        <w:rPr>
          <w:i/>
          <w:color w:val="0070C0"/>
          <w:lang w:val="es-ES"/>
        </w:rPr>
        <w:t>”</w:t>
      </w:r>
    </w:p>
    <w:p w14:paraId="18D416EA" w14:textId="77777777" w:rsidR="004D23BF" w:rsidRDefault="004D23BF">
      <w:pPr>
        <w:rPr>
          <w:lang w:val="es-ES"/>
        </w:rPr>
      </w:pPr>
    </w:p>
    <w:p w14:paraId="687CE7C9" w14:textId="405F5B6A" w:rsidR="00891947" w:rsidRDefault="00056448">
      <w:pPr>
        <w:rPr>
          <w:lang w:val="es-ES"/>
        </w:rPr>
      </w:pPr>
      <w:r>
        <w:rPr>
          <w:lang w:val="es-ES"/>
        </w:rPr>
        <w:lastRenderedPageBreak/>
        <w:t>Como puede verse, las micro y pequeñas empresas</w:t>
      </w:r>
      <w:r w:rsidR="00891947">
        <w:rPr>
          <w:lang w:val="es-ES"/>
        </w:rPr>
        <w:t xml:space="preserve"> (ver artículo 236 de la misma Ley 1819 de 2016 para conocer cómo se define el tamaño de cada una)</w:t>
      </w:r>
      <w:r>
        <w:rPr>
          <w:lang w:val="es-ES"/>
        </w:rPr>
        <w:t>, que hasta el cierre del año gravable 202</w:t>
      </w:r>
      <w:r w:rsidR="006563C5">
        <w:rPr>
          <w:lang w:val="es-ES"/>
        </w:rPr>
        <w:t>4</w:t>
      </w:r>
      <w:r>
        <w:rPr>
          <w:lang w:val="es-ES"/>
        </w:rPr>
        <w:t xml:space="preserve"> tributarán con una tarifa del </w:t>
      </w:r>
      <w:r w:rsidR="006563C5">
        <w:rPr>
          <w:lang w:val="es-ES"/>
        </w:rPr>
        <w:t>25</w:t>
      </w:r>
      <w:r>
        <w:rPr>
          <w:lang w:val="es-ES"/>
        </w:rPr>
        <w:t>%</w:t>
      </w:r>
      <w:r w:rsidR="006563C5">
        <w:rPr>
          <w:lang w:val="es-ES"/>
        </w:rPr>
        <w:t xml:space="preserve"> de la tarifa general del artículo 240 del ET (lo cual sería 25% x 35%= 8,75%)</w:t>
      </w:r>
      <w:r>
        <w:rPr>
          <w:lang w:val="es-ES"/>
        </w:rPr>
        <w:t>, empezarán a tributar en el año gravable 202</w:t>
      </w:r>
      <w:r w:rsidR="006563C5">
        <w:rPr>
          <w:lang w:val="es-ES"/>
        </w:rPr>
        <w:t>5</w:t>
      </w:r>
      <w:r>
        <w:rPr>
          <w:lang w:val="es-ES"/>
        </w:rPr>
        <w:t xml:space="preserve"> y hasta el 202</w:t>
      </w:r>
      <w:r w:rsidR="006563C5">
        <w:rPr>
          <w:lang w:val="es-ES"/>
        </w:rPr>
        <w:t>7</w:t>
      </w:r>
      <w:r>
        <w:rPr>
          <w:lang w:val="es-ES"/>
        </w:rPr>
        <w:t xml:space="preserve"> con el </w:t>
      </w:r>
      <w:r w:rsidR="006563C5">
        <w:rPr>
          <w:lang w:val="es-ES"/>
        </w:rPr>
        <w:t>50</w:t>
      </w:r>
      <w:r>
        <w:rPr>
          <w:lang w:val="es-ES"/>
        </w:rPr>
        <w:t>% de la tarifa general mencionada en el artículo 240 del ET</w:t>
      </w:r>
      <w:r w:rsidR="006563C5">
        <w:rPr>
          <w:lang w:val="es-ES"/>
        </w:rPr>
        <w:t xml:space="preserve"> (norma que justamente podría ser modificada para el año gravable 2025 y siguientes si se aprueba la propuesta incluida </w:t>
      </w:r>
      <w:hyperlink r:id="rId8" w:history="1">
        <w:r w:rsidR="006563C5" w:rsidRPr="006563C5">
          <w:rPr>
            <w:rStyle w:val="Hipervnculo"/>
            <w:lang w:val="es-ES"/>
          </w:rPr>
          <w:t>en el artículo 2 del proyecto de reforma tributaria radicado en el congreso el 10 de septiembre de 2024</w:t>
        </w:r>
      </w:hyperlink>
      <w:r w:rsidR="006563C5">
        <w:rPr>
          <w:lang w:val="es-ES"/>
        </w:rPr>
        <w:t>).</w:t>
      </w:r>
    </w:p>
    <w:p w14:paraId="790A48FB" w14:textId="77777777" w:rsidR="00891947" w:rsidRDefault="00891947">
      <w:pPr>
        <w:rPr>
          <w:lang w:val="es-ES"/>
        </w:rPr>
      </w:pPr>
    </w:p>
    <w:p w14:paraId="3F9EE8A7" w14:textId="664215C8" w:rsidR="00056448" w:rsidRDefault="00056448">
      <w:pPr>
        <w:rPr>
          <w:lang w:val="es-ES"/>
        </w:rPr>
      </w:pPr>
      <w:r>
        <w:rPr>
          <w:lang w:val="es-ES"/>
        </w:rPr>
        <w:t>Por tanto,</w:t>
      </w:r>
      <w:r w:rsidR="005622C2">
        <w:rPr>
          <w:lang w:val="es-ES"/>
        </w:rPr>
        <w:t xml:space="preserve"> si no se modifica la actual tarifa general del impuesto de renta, en el año gravable 2025 e</w:t>
      </w:r>
      <w:r>
        <w:rPr>
          <w:lang w:val="es-ES"/>
        </w:rPr>
        <w:t>ste tipo de empresas tendrán que liquidar al cierre del año un impuesto equi</w:t>
      </w:r>
      <w:r w:rsidR="004E59C9">
        <w:rPr>
          <w:lang w:val="es-ES"/>
        </w:rPr>
        <w:t>valente a</w:t>
      </w:r>
      <w:r>
        <w:rPr>
          <w:lang w:val="es-ES"/>
        </w:rPr>
        <w:t xml:space="preserve">: </w:t>
      </w:r>
      <w:r w:rsidR="005622C2">
        <w:rPr>
          <w:lang w:val="es-ES"/>
        </w:rPr>
        <w:t>50</w:t>
      </w:r>
      <w:r>
        <w:rPr>
          <w:lang w:val="es-ES"/>
        </w:rPr>
        <w:t xml:space="preserve">% x 35%= </w:t>
      </w:r>
      <w:r w:rsidR="005622C2">
        <w:rPr>
          <w:lang w:val="es-ES"/>
        </w:rPr>
        <w:t>1</w:t>
      </w:r>
      <w:r>
        <w:rPr>
          <w:lang w:val="es-ES"/>
        </w:rPr>
        <w:t>7</w:t>
      </w:r>
      <w:r w:rsidR="005622C2">
        <w:rPr>
          <w:lang w:val="es-ES"/>
        </w:rPr>
        <w:t>,</w:t>
      </w:r>
      <w:r>
        <w:rPr>
          <w:lang w:val="es-ES"/>
        </w:rPr>
        <w:t>5%. Lo anterior implicará</w:t>
      </w:r>
      <w:r w:rsidR="005622C2">
        <w:rPr>
          <w:lang w:val="es-ES"/>
        </w:rPr>
        <w:t xml:space="preserve"> además</w:t>
      </w:r>
      <w:r>
        <w:rPr>
          <w:lang w:val="es-ES"/>
        </w:rPr>
        <w:t xml:space="preserve"> que al cierre del </w:t>
      </w:r>
      <w:r w:rsidR="005622C2">
        <w:rPr>
          <w:lang w:val="es-ES"/>
        </w:rPr>
        <w:t xml:space="preserve">actual </w:t>
      </w:r>
      <w:r>
        <w:rPr>
          <w:lang w:val="es-ES"/>
        </w:rPr>
        <w:t xml:space="preserve">año </w:t>
      </w:r>
      <w:r w:rsidR="005622C2">
        <w:rPr>
          <w:lang w:val="es-ES"/>
        </w:rPr>
        <w:t xml:space="preserve">gravable </w:t>
      </w:r>
      <w:r>
        <w:rPr>
          <w:lang w:val="es-ES"/>
        </w:rPr>
        <w:t>202</w:t>
      </w:r>
      <w:r w:rsidR="005622C2">
        <w:rPr>
          <w:lang w:val="es-ES"/>
        </w:rPr>
        <w:t>4, al momento de calcular el impuesto diferido, tendrían que utilizar la nueva tarifa del 17,5%</w:t>
      </w:r>
      <w:r w:rsidR="00891947">
        <w:rPr>
          <w:lang w:val="es-ES"/>
        </w:rPr>
        <w:t>.</w:t>
      </w:r>
    </w:p>
    <w:p w14:paraId="242DC1B6" w14:textId="77777777" w:rsidR="00891947" w:rsidRDefault="00891947">
      <w:pPr>
        <w:rPr>
          <w:lang w:val="es-ES"/>
        </w:rPr>
      </w:pPr>
    </w:p>
    <w:p w14:paraId="2EFDBF92" w14:textId="77777777" w:rsidR="00AC2E16" w:rsidRDefault="00AC2E16">
      <w:pPr>
        <w:rPr>
          <w:lang w:val="es-ES"/>
        </w:rPr>
      </w:pPr>
    </w:p>
    <w:p w14:paraId="57AB194E" w14:textId="150A9A88" w:rsidR="00AC2E16" w:rsidRPr="004E59C9" w:rsidRDefault="00AC2E16" w:rsidP="004E59C9">
      <w:pPr>
        <w:pStyle w:val="Ttulo2"/>
        <w:rPr>
          <w:b/>
          <w:lang w:val="es-ES"/>
        </w:rPr>
      </w:pPr>
      <w:r w:rsidRPr="004E59C9">
        <w:rPr>
          <w:b/>
          <w:lang w:val="es-ES"/>
        </w:rPr>
        <w:t>También se afectarán las autorretenciones a título de renta que se deberán practicar y las retenciones a título de renta que les practicarán los clientes</w:t>
      </w:r>
    </w:p>
    <w:p w14:paraId="72D145F2" w14:textId="4706948D" w:rsidR="004B64A7" w:rsidRDefault="004B64A7" w:rsidP="004B64A7">
      <w:r>
        <w:t xml:space="preserve">En vista de que las “micro”, “pequeñas”, “medianas” y “grandes” empresas </w:t>
      </w:r>
      <w:r w:rsidR="004E59C9">
        <w:t xml:space="preserve">que se instalen en las ZOMAC </w:t>
      </w:r>
      <w:r>
        <w:t>pueden beneficiarse de liquidar su impuesto de renta y de ganancia ocasional de los años 2017 a 2027 con tarifas reduc</w:t>
      </w:r>
      <w:r w:rsidR="004E59C9">
        <w:t xml:space="preserve">idas (que </w:t>
      </w:r>
      <w:r>
        <w:t>llegar</w:t>
      </w:r>
      <w:r w:rsidR="004E59C9">
        <w:t>on</w:t>
      </w:r>
      <w:r>
        <w:t xml:space="preserve"> incluso a ser del 0% entre los años 2017 a 2021), y en razón a que la Ley 1819 de 2016 no exoneró a estas sociedades de estar enfrentando retenciones en la  fuente de parte de sus clientes y demás agentes de retención, es por eso qu</w:t>
      </w:r>
      <w:r w:rsidR="004E59C9">
        <w:t xml:space="preserve">e el </w:t>
      </w:r>
      <w:hyperlink r:id="rId9" w:anchor="1.2.1.23.1.10" w:history="1">
        <w:r w:rsidRPr="00C315E3">
          <w:rPr>
            <w:rStyle w:val="Hipervnculo"/>
          </w:rPr>
          <w:t xml:space="preserve">artículo 1.2.1.23.1.10 </w:t>
        </w:r>
        <w:r w:rsidR="004E59C9" w:rsidRPr="00C315E3">
          <w:rPr>
            <w:rStyle w:val="Hipervnculo"/>
          </w:rPr>
          <w:t xml:space="preserve">del </w:t>
        </w:r>
        <w:r w:rsidRPr="00C315E3">
          <w:rPr>
            <w:rStyle w:val="Hipervnculo"/>
          </w:rPr>
          <w:t>DUT 1625 de octubre de 2016</w:t>
        </w:r>
      </w:hyperlink>
      <w:r>
        <w:t xml:space="preserve"> </w:t>
      </w:r>
      <w:r w:rsidR="004E59C9">
        <w:t>(agregado con el Decreto 1650 de octubre de 2017) establece</w:t>
      </w:r>
      <w:r>
        <w:t xml:space="preserve"> que las sociedades acogidas a los beneficios de las ZOMAC sufrirán retenciones en la fuente de forma especial (con miras a evitar saldos a favor en sus declaraciones de renta), así:</w:t>
      </w:r>
    </w:p>
    <w:p w14:paraId="617537E5" w14:textId="77777777" w:rsidR="004B64A7" w:rsidRDefault="004B64A7" w:rsidP="004B64A7"/>
    <w:p w14:paraId="68EE2415" w14:textId="77777777" w:rsidR="004B64A7" w:rsidRDefault="004B64A7" w:rsidP="004B64A7">
      <w:pPr>
        <w:pStyle w:val="Prrafodelista"/>
        <w:ind w:left="360"/>
      </w:pPr>
    </w:p>
    <w:tbl>
      <w:tblPr>
        <w:tblStyle w:val="Tablaconcuadrcula"/>
        <w:tblW w:w="0" w:type="auto"/>
        <w:tblInd w:w="675" w:type="dxa"/>
        <w:tblLook w:val="04A0" w:firstRow="1" w:lastRow="0" w:firstColumn="1" w:lastColumn="0" w:noHBand="0" w:noVBand="1"/>
      </w:tblPr>
      <w:tblGrid>
        <w:gridCol w:w="1110"/>
        <w:gridCol w:w="1760"/>
        <w:gridCol w:w="1761"/>
        <w:gridCol w:w="1761"/>
        <w:gridCol w:w="1761"/>
      </w:tblGrid>
      <w:tr w:rsidR="004B64A7" w14:paraId="0C07BB04" w14:textId="77777777" w:rsidTr="007F0E7D">
        <w:tc>
          <w:tcPr>
            <w:tcW w:w="1120" w:type="dxa"/>
          </w:tcPr>
          <w:p w14:paraId="12EB15F2" w14:textId="77777777" w:rsidR="004B64A7" w:rsidRPr="0072743A" w:rsidRDefault="004B64A7" w:rsidP="007F0E7D">
            <w:pPr>
              <w:rPr>
                <w:b/>
                <w:sz w:val="20"/>
                <w:szCs w:val="20"/>
              </w:rPr>
            </w:pPr>
            <w:r w:rsidRPr="0072743A">
              <w:rPr>
                <w:b/>
                <w:sz w:val="20"/>
                <w:szCs w:val="20"/>
              </w:rPr>
              <w:t>Tamaño de la sociedad</w:t>
            </w:r>
          </w:p>
        </w:tc>
        <w:tc>
          <w:tcPr>
            <w:tcW w:w="1795" w:type="dxa"/>
          </w:tcPr>
          <w:p w14:paraId="5FB58FFF" w14:textId="77777777" w:rsidR="004B64A7" w:rsidRPr="0072743A" w:rsidRDefault="004B64A7" w:rsidP="007F0E7D">
            <w:pPr>
              <w:rPr>
                <w:b/>
                <w:sz w:val="20"/>
                <w:szCs w:val="20"/>
              </w:rPr>
            </w:pPr>
            <w:r w:rsidRPr="0072743A">
              <w:rPr>
                <w:b/>
                <w:sz w:val="20"/>
                <w:szCs w:val="20"/>
              </w:rPr>
              <w:t xml:space="preserve">Forma de aplicarles retención </w:t>
            </w:r>
            <w:r>
              <w:rPr>
                <w:b/>
                <w:sz w:val="20"/>
                <w:szCs w:val="20"/>
              </w:rPr>
              <w:t xml:space="preserve">a </w:t>
            </w:r>
            <w:r w:rsidRPr="0072743A">
              <w:rPr>
                <w:b/>
                <w:sz w:val="20"/>
                <w:szCs w:val="20"/>
              </w:rPr>
              <w:t xml:space="preserve">en la fuente </w:t>
            </w:r>
            <w:r>
              <w:rPr>
                <w:b/>
                <w:sz w:val="20"/>
                <w:szCs w:val="20"/>
              </w:rPr>
              <w:t xml:space="preserve">a título de renta y de ganancia ocasional </w:t>
            </w:r>
            <w:r w:rsidRPr="0072743A">
              <w:rPr>
                <w:b/>
                <w:sz w:val="20"/>
                <w:szCs w:val="20"/>
              </w:rPr>
              <w:t>entre los años 2017 hasta 2021</w:t>
            </w:r>
          </w:p>
        </w:tc>
        <w:tc>
          <w:tcPr>
            <w:tcW w:w="1796" w:type="dxa"/>
          </w:tcPr>
          <w:p w14:paraId="5362147C" w14:textId="77777777" w:rsidR="004B64A7" w:rsidRPr="0072743A" w:rsidRDefault="004B64A7" w:rsidP="007F0E7D">
            <w:pPr>
              <w:rPr>
                <w:b/>
                <w:sz w:val="20"/>
                <w:szCs w:val="20"/>
              </w:rPr>
            </w:pPr>
            <w:r w:rsidRPr="0072743A">
              <w:rPr>
                <w:b/>
                <w:sz w:val="20"/>
                <w:szCs w:val="20"/>
              </w:rPr>
              <w:t xml:space="preserve">Forma de aplicarles retención </w:t>
            </w:r>
            <w:r>
              <w:rPr>
                <w:b/>
                <w:sz w:val="20"/>
                <w:szCs w:val="20"/>
              </w:rPr>
              <w:t xml:space="preserve">a </w:t>
            </w:r>
            <w:r w:rsidRPr="0072743A">
              <w:rPr>
                <w:b/>
                <w:sz w:val="20"/>
                <w:szCs w:val="20"/>
              </w:rPr>
              <w:t xml:space="preserve">en la fuente </w:t>
            </w:r>
            <w:r>
              <w:rPr>
                <w:b/>
                <w:sz w:val="20"/>
                <w:szCs w:val="20"/>
              </w:rPr>
              <w:t>a título de renta y de ganancia ocasional</w:t>
            </w:r>
            <w:r w:rsidRPr="0072743A">
              <w:rPr>
                <w:b/>
                <w:sz w:val="20"/>
                <w:szCs w:val="20"/>
              </w:rPr>
              <w:t xml:space="preserve"> entre los años 2022 hasta 2024</w:t>
            </w:r>
          </w:p>
        </w:tc>
        <w:tc>
          <w:tcPr>
            <w:tcW w:w="1796" w:type="dxa"/>
          </w:tcPr>
          <w:p w14:paraId="74B8B3A2" w14:textId="77777777" w:rsidR="004B64A7" w:rsidRPr="0072743A" w:rsidRDefault="004B64A7" w:rsidP="007F0E7D">
            <w:pPr>
              <w:rPr>
                <w:b/>
                <w:sz w:val="20"/>
                <w:szCs w:val="20"/>
              </w:rPr>
            </w:pPr>
            <w:r w:rsidRPr="0072743A">
              <w:rPr>
                <w:b/>
                <w:sz w:val="20"/>
                <w:szCs w:val="20"/>
              </w:rPr>
              <w:t xml:space="preserve">Forma de aplicarles retención </w:t>
            </w:r>
            <w:r>
              <w:rPr>
                <w:b/>
                <w:sz w:val="20"/>
                <w:szCs w:val="20"/>
              </w:rPr>
              <w:t xml:space="preserve">a </w:t>
            </w:r>
            <w:r w:rsidRPr="0072743A">
              <w:rPr>
                <w:b/>
                <w:sz w:val="20"/>
                <w:szCs w:val="20"/>
              </w:rPr>
              <w:t xml:space="preserve">en la fuente </w:t>
            </w:r>
            <w:r>
              <w:rPr>
                <w:b/>
                <w:sz w:val="20"/>
                <w:szCs w:val="20"/>
              </w:rPr>
              <w:t>a título de renta y de ganancia ocasional</w:t>
            </w:r>
            <w:r w:rsidRPr="0072743A">
              <w:rPr>
                <w:b/>
                <w:sz w:val="20"/>
                <w:szCs w:val="20"/>
              </w:rPr>
              <w:t xml:space="preserve"> entre los años 2025 hasta 2027</w:t>
            </w:r>
          </w:p>
        </w:tc>
        <w:tc>
          <w:tcPr>
            <w:tcW w:w="1796" w:type="dxa"/>
          </w:tcPr>
          <w:p w14:paraId="6CD03ED7" w14:textId="77777777" w:rsidR="004B64A7" w:rsidRPr="0072743A" w:rsidRDefault="004B64A7" w:rsidP="007F0E7D">
            <w:pPr>
              <w:rPr>
                <w:b/>
                <w:sz w:val="20"/>
                <w:szCs w:val="20"/>
              </w:rPr>
            </w:pPr>
            <w:r w:rsidRPr="0072743A">
              <w:rPr>
                <w:b/>
                <w:sz w:val="20"/>
                <w:szCs w:val="20"/>
              </w:rPr>
              <w:t xml:space="preserve">Forma de aplicarles retención </w:t>
            </w:r>
            <w:r>
              <w:rPr>
                <w:b/>
                <w:sz w:val="20"/>
                <w:szCs w:val="20"/>
              </w:rPr>
              <w:t xml:space="preserve">a </w:t>
            </w:r>
            <w:r w:rsidRPr="0072743A">
              <w:rPr>
                <w:b/>
                <w:sz w:val="20"/>
                <w:szCs w:val="20"/>
              </w:rPr>
              <w:t xml:space="preserve">en la fuente </w:t>
            </w:r>
            <w:r>
              <w:rPr>
                <w:b/>
                <w:sz w:val="20"/>
                <w:szCs w:val="20"/>
              </w:rPr>
              <w:t>a título de renta y de ganancia ocasional</w:t>
            </w:r>
            <w:r w:rsidRPr="0072743A">
              <w:rPr>
                <w:b/>
                <w:sz w:val="20"/>
                <w:szCs w:val="20"/>
              </w:rPr>
              <w:t xml:space="preserve"> a partir del año 2028</w:t>
            </w:r>
          </w:p>
        </w:tc>
      </w:tr>
      <w:tr w:rsidR="004B64A7" w14:paraId="17150A13" w14:textId="77777777" w:rsidTr="007F0E7D">
        <w:tc>
          <w:tcPr>
            <w:tcW w:w="1120" w:type="dxa"/>
          </w:tcPr>
          <w:p w14:paraId="1F9E3423" w14:textId="77777777" w:rsidR="004B64A7" w:rsidRPr="0072743A" w:rsidRDefault="004B64A7" w:rsidP="007F0E7D">
            <w:pPr>
              <w:rPr>
                <w:sz w:val="20"/>
                <w:szCs w:val="20"/>
              </w:rPr>
            </w:pPr>
            <w:r w:rsidRPr="0072743A">
              <w:rPr>
                <w:sz w:val="20"/>
                <w:szCs w:val="20"/>
              </w:rPr>
              <w:t>Micro y Pequeña</w:t>
            </w:r>
          </w:p>
        </w:tc>
        <w:tc>
          <w:tcPr>
            <w:tcW w:w="1795" w:type="dxa"/>
          </w:tcPr>
          <w:p w14:paraId="1342F896" w14:textId="77777777" w:rsidR="004B64A7" w:rsidRPr="0072743A" w:rsidRDefault="004B64A7" w:rsidP="007F0E7D">
            <w:pPr>
              <w:rPr>
                <w:sz w:val="20"/>
                <w:szCs w:val="20"/>
              </w:rPr>
            </w:pPr>
            <w:r w:rsidRPr="0072743A">
              <w:rPr>
                <w:sz w:val="20"/>
                <w:szCs w:val="20"/>
              </w:rPr>
              <w:t>Se tomará la tarifa de retención en la fuente que corresponda al concepto del pago o abono en cuenta y se le aplicará un 0%</w:t>
            </w:r>
          </w:p>
        </w:tc>
        <w:tc>
          <w:tcPr>
            <w:tcW w:w="1796" w:type="dxa"/>
          </w:tcPr>
          <w:p w14:paraId="0B474C1E" w14:textId="77777777" w:rsidR="004B64A7" w:rsidRPr="0072743A" w:rsidRDefault="004B64A7" w:rsidP="007F0E7D">
            <w:pPr>
              <w:rPr>
                <w:sz w:val="20"/>
                <w:szCs w:val="20"/>
              </w:rPr>
            </w:pPr>
            <w:r w:rsidRPr="0072743A">
              <w:rPr>
                <w:sz w:val="20"/>
                <w:szCs w:val="20"/>
              </w:rPr>
              <w:t>Se tomará la tarifa de retención en la fuente que corresponda al concepto del pago o abono en cuenta y se le aplicará un 25%</w:t>
            </w:r>
          </w:p>
        </w:tc>
        <w:tc>
          <w:tcPr>
            <w:tcW w:w="1796" w:type="dxa"/>
          </w:tcPr>
          <w:p w14:paraId="493FC229" w14:textId="77777777" w:rsidR="004B64A7" w:rsidRPr="0072743A" w:rsidRDefault="004B64A7" w:rsidP="007F0E7D">
            <w:pPr>
              <w:rPr>
                <w:sz w:val="20"/>
                <w:szCs w:val="20"/>
              </w:rPr>
            </w:pPr>
            <w:r w:rsidRPr="0072743A">
              <w:rPr>
                <w:sz w:val="20"/>
                <w:szCs w:val="20"/>
              </w:rPr>
              <w:t>Se tomará la tarifa de retención en la fuente que corresponda al concepto del pago o abono en cuenta y se le aplicará un 50%</w:t>
            </w:r>
          </w:p>
        </w:tc>
        <w:tc>
          <w:tcPr>
            <w:tcW w:w="1796" w:type="dxa"/>
          </w:tcPr>
          <w:p w14:paraId="2E087FA1" w14:textId="77777777" w:rsidR="004B64A7" w:rsidRPr="0072743A" w:rsidRDefault="004B64A7" w:rsidP="007F0E7D">
            <w:pPr>
              <w:rPr>
                <w:sz w:val="20"/>
                <w:szCs w:val="20"/>
              </w:rPr>
            </w:pPr>
            <w:r w:rsidRPr="0072743A">
              <w:rPr>
                <w:sz w:val="20"/>
                <w:szCs w:val="20"/>
              </w:rPr>
              <w:t>Se les aplicará de forma plena la tarifa de retención en la fuente que corresponda al concepto del pago o abono en cuenta</w:t>
            </w:r>
          </w:p>
        </w:tc>
      </w:tr>
      <w:tr w:rsidR="004B64A7" w14:paraId="31863DC1" w14:textId="77777777" w:rsidTr="007F0E7D">
        <w:tc>
          <w:tcPr>
            <w:tcW w:w="1120" w:type="dxa"/>
          </w:tcPr>
          <w:p w14:paraId="1D30326D" w14:textId="77777777" w:rsidR="004B64A7" w:rsidRPr="0072743A" w:rsidRDefault="004B64A7" w:rsidP="007F0E7D">
            <w:pPr>
              <w:rPr>
                <w:sz w:val="20"/>
                <w:szCs w:val="20"/>
              </w:rPr>
            </w:pPr>
            <w:r w:rsidRPr="0072743A">
              <w:rPr>
                <w:sz w:val="20"/>
                <w:szCs w:val="20"/>
              </w:rPr>
              <w:lastRenderedPageBreak/>
              <w:t>Mediana y Grande</w:t>
            </w:r>
          </w:p>
        </w:tc>
        <w:tc>
          <w:tcPr>
            <w:tcW w:w="1795" w:type="dxa"/>
          </w:tcPr>
          <w:p w14:paraId="5D0B49ED" w14:textId="77777777" w:rsidR="004B64A7" w:rsidRPr="0072743A" w:rsidRDefault="004B64A7" w:rsidP="007F0E7D">
            <w:pPr>
              <w:rPr>
                <w:sz w:val="20"/>
                <w:szCs w:val="20"/>
              </w:rPr>
            </w:pPr>
            <w:r w:rsidRPr="0072743A">
              <w:rPr>
                <w:sz w:val="20"/>
                <w:szCs w:val="20"/>
              </w:rPr>
              <w:t>Se tomará la tarifa de retención en la fuente que corresponda al concepto del pago o abono en cuenta y se le aplicará un 50%</w:t>
            </w:r>
          </w:p>
        </w:tc>
        <w:tc>
          <w:tcPr>
            <w:tcW w:w="1796" w:type="dxa"/>
          </w:tcPr>
          <w:p w14:paraId="151FEA22" w14:textId="77777777" w:rsidR="004B64A7" w:rsidRPr="0072743A" w:rsidRDefault="004B64A7" w:rsidP="007F0E7D">
            <w:pPr>
              <w:rPr>
                <w:sz w:val="20"/>
                <w:szCs w:val="20"/>
              </w:rPr>
            </w:pPr>
            <w:r w:rsidRPr="0072743A">
              <w:rPr>
                <w:sz w:val="20"/>
                <w:szCs w:val="20"/>
              </w:rPr>
              <w:t xml:space="preserve">Se tomará la tarifa de retención en la fuente que corresponda al concepto del pago o abono en cuenta y se le aplicará un </w:t>
            </w:r>
            <w:r>
              <w:rPr>
                <w:sz w:val="20"/>
                <w:szCs w:val="20"/>
              </w:rPr>
              <w:t>75%</w:t>
            </w:r>
          </w:p>
        </w:tc>
        <w:tc>
          <w:tcPr>
            <w:tcW w:w="1796" w:type="dxa"/>
          </w:tcPr>
          <w:p w14:paraId="0465D673" w14:textId="77777777" w:rsidR="004B64A7" w:rsidRPr="0072743A" w:rsidRDefault="004B64A7" w:rsidP="007F0E7D">
            <w:pPr>
              <w:rPr>
                <w:sz w:val="20"/>
                <w:szCs w:val="20"/>
              </w:rPr>
            </w:pPr>
            <w:r w:rsidRPr="0072743A">
              <w:rPr>
                <w:sz w:val="20"/>
                <w:szCs w:val="20"/>
              </w:rPr>
              <w:t>Se tomará la tarifa de retención en la fuente que corresponda al concepto del pago o abono en cuenta y se le aplicará</w:t>
            </w:r>
            <w:r>
              <w:rPr>
                <w:sz w:val="20"/>
                <w:szCs w:val="20"/>
              </w:rPr>
              <w:t xml:space="preserve"> un 75%</w:t>
            </w:r>
          </w:p>
        </w:tc>
        <w:tc>
          <w:tcPr>
            <w:tcW w:w="1796" w:type="dxa"/>
          </w:tcPr>
          <w:p w14:paraId="51E0A0D0" w14:textId="77777777" w:rsidR="004B64A7" w:rsidRPr="0072743A" w:rsidRDefault="004B64A7" w:rsidP="007F0E7D">
            <w:pPr>
              <w:rPr>
                <w:sz w:val="20"/>
                <w:szCs w:val="20"/>
              </w:rPr>
            </w:pPr>
            <w:r w:rsidRPr="0072743A">
              <w:rPr>
                <w:sz w:val="20"/>
                <w:szCs w:val="20"/>
              </w:rPr>
              <w:t>Se les aplicará de forma plena la tarifa de retención en la fuente que corresponda al concepto del pago o abono en cuenta</w:t>
            </w:r>
          </w:p>
        </w:tc>
      </w:tr>
    </w:tbl>
    <w:p w14:paraId="05FBE810" w14:textId="77777777" w:rsidR="004B64A7" w:rsidRDefault="004B64A7" w:rsidP="004B64A7"/>
    <w:p w14:paraId="615CA610" w14:textId="296EB3FE" w:rsidR="004E59C9" w:rsidRDefault="004B64A7" w:rsidP="004E59C9">
      <w:r>
        <w:t xml:space="preserve"> Al respecto, la norma indica que la sociedad beneficiada deberá indicar, dentro del cuerpo de su factura, cuál es su respectivo tamaño o categoría para el momento en que se efectúa la factura. Si no lo hace, en ese caso el agente de retención practicará la retención con la tarifa plena. Al respecto, se entiende que las sociedades beneficiadas también tendrían que hacer llegar alguna notificación especial a las entidades financieras donde devenguen intereses, o a las otras sociedades donde se ganen dividendos o participaciones gravadas, pues dichos ingresos no se soportan en facturas de venta pero sí se someten a retención en la fuente. </w:t>
      </w:r>
    </w:p>
    <w:p w14:paraId="16FBE6ED" w14:textId="77777777" w:rsidR="004E59C9" w:rsidRDefault="004E59C9" w:rsidP="004E59C9"/>
    <w:p w14:paraId="7FD2F3D0" w14:textId="11DFD28A" w:rsidR="004E59C9" w:rsidRDefault="004E59C9" w:rsidP="004E59C9">
      <w:r>
        <w:t xml:space="preserve">De igual forma, el mismo cuadro anteriormente presentado </w:t>
      </w:r>
      <w:r w:rsidR="004B64A7">
        <w:t xml:space="preserve">también deberá ser tomado en cuenta para efectos de calcular </w:t>
      </w:r>
      <w:r w:rsidR="004B64A7" w:rsidRPr="00C315E3">
        <w:t xml:space="preserve">las autorretenciones </w:t>
      </w:r>
      <w:r w:rsidR="00C315E3" w:rsidRPr="00C315E3">
        <w:t xml:space="preserve">especiales </w:t>
      </w:r>
      <w:r w:rsidR="004B64A7" w:rsidRPr="00C315E3">
        <w:t xml:space="preserve">en la fuente a título de renta </w:t>
      </w:r>
      <w:r w:rsidR="00C315E3" w:rsidRPr="00C315E3">
        <w:t>de los artículos 1</w:t>
      </w:r>
      <w:hyperlink r:id="rId10" w:anchor="1.2.6.6" w:history="1">
        <w:r w:rsidR="00C315E3" w:rsidRPr="00C315E3">
          <w:rPr>
            <w:rStyle w:val="Hipervnculo"/>
          </w:rPr>
          <w:t>.2.6.6 a 1.2.6.11 del DUT 1625 de 2016</w:t>
        </w:r>
      </w:hyperlink>
      <w:r w:rsidR="00C315E3">
        <w:t xml:space="preserve"> (solo si están haciendo uso de la exoneración de aportes de nómina del artículo 114-1 del ET)</w:t>
      </w:r>
      <w:r w:rsidR="004B64A7">
        <w:t>. Por consiguient</w:t>
      </w:r>
      <w:r>
        <w:t xml:space="preserve">e, a partir del </w:t>
      </w:r>
      <w:r w:rsidR="00C315E3">
        <w:t xml:space="preserve">año gravable </w:t>
      </w:r>
      <w:r>
        <w:t>202</w:t>
      </w:r>
      <w:r w:rsidR="00C315E3">
        <w:t>5</w:t>
      </w:r>
      <w:r w:rsidR="004B64A7">
        <w:t xml:space="preserve">, si una sociedad acogida a los beneficios de las ZOMAC y que califica como “micro” empresa se debe practicar las autorretenciones </w:t>
      </w:r>
      <w:r w:rsidR="00C315E3">
        <w:t xml:space="preserve">antes mencionadas </w:t>
      </w:r>
      <w:r w:rsidR="004B64A7">
        <w:t>con la tarifa del 0,</w:t>
      </w:r>
      <w:r w:rsidR="00C315E3">
        <w:t>55</w:t>
      </w:r>
      <w:r w:rsidR="004B64A7">
        <w:t>%, en ese caso tomará dicha t</w:t>
      </w:r>
      <w:r>
        <w:t xml:space="preserve">arifa y la multiplicará por el </w:t>
      </w:r>
      <w:r w:rsidR="00C315E3">
        <w:t>50</w:t>
      </w:r>
      <w:r>
        <w:t>% entre los años 202</w:t>
      </w:r>
      <w:r w:rsidR="00C315E3">
        <w:t>5</w:t>
      </w:r>
      <w:r>
        <w:t xml:space="preserve"> hasta 202</w:t>
      </w:r>
      <w:r w:rsidR="00C315E3">
        <w:t>7</w:t>
      </w:r>
      <w:r>
        <w:t xml:space="preserve"> (lo cual daría 0,</w:t>
      </w:r>
      <w:r w:rsidR="00C315E3">
        <w:t>55</w:t>
      </w:r>
      <w:r>
        <w:t xml:space="preserve">% x </w:t>
      </w:r>
      <w:r w:rsidR="00C315E3">
        <w:t>50</w:t>
      </w:r>
      <w:r>
        <w:t>% = 0,</w:t>
      </w:r>
      <w:r w:rsidR="00C315E3">
        <w:t>275</w:t>
      </w:r>
      <w:r>
        <w:t>%)</w:t>
      </w:r>
      <w:r w:rsidR="004B64A7">
        <w:t>.</w:t>
      </w:r>
    </w:p>
    <w:p w14:paraId="707FD0DC" w14:textId="77777777" w:rsidR="004E59C9" w:rsidRDefault="004E59C9" w:rsidP="004E59C9">
      <w:pPr>
        <w:pBdr>
          <w:bottom w:val="single" w:sz="12" w:space="1" w:color="auto"/>
        </w:pBdr>
      </w:pPr>
    </w:p>
    <w:p w14:paraId="6CCC1A41" w14:textId="77777777" w:rsidR="004E59C9" w:rsidRDefault="004E59C9"/>
    <w:p w14:paraId="135FE195" w14:textId="559F904C" w:rsidR="004E59C9" w:rsidRPr="004E59C9" w:rsidRDefault="004E59C9" w:rsidP="004E59C9">
      <w:pPr>
        <w:rPr>
          <w:rStyle w:val="Hipervnculo"/>
          <w:lang w:eastAsia="es-ES_tradnl"/>
        </w:rPr>
      </w:pPr>
      <w:r>
        <w:rPr>
          <w:lang w:eastAsia="es-ES_tradnl"/>
        </w:rPr>
        <w:fldChar w:fldCharType="begin"/>
      </w:r>
      <w:r>
        <w:rPr>
          <w:lang w:eastAsia="es-ES_tradnl"/>
        </w:rPr>
        <w:instrText xml:space="preserve"> HYPERLINK "https://actualicese.com/codigos-especiales-en-el-rut-para-sociedades-con-beneficios-por-zomac-zese-o-regimen-chc/" </w:instrText>
      </w:r>
      <w:r>
        <w:rPr>
          <w:lang w:eastAsia="es-ES_tradnl"/>
        </w:rPr>
      </w:r>
      <w:r>
        <w:rPr>
          <w:lang w:eastAsia="es-ES_tradnl"/>
        </w:rPr>
        <w:fldChar w:fldCharType="separate"/>
      </w:r>
      <w:r w:rsidRPr="004E59C9">
        <w:rPr>
          <w:rStyle w:val="Hipervnculo"/>
          <w:lang w:eastAsia="es-ES_tradnl"/>
        </w:rPr>
        <w:t xml:space="preserve">Códigos especiales en el RUT para sociedades con beneficios por </w:t>
      </w:r>
      <w:proofErr w:type="spellStart"/>
      <w:r w:rsidRPr="004E59C9">
        <w:rPr>
          <w:rStyle w:val="Hipervnculo"/>
          <w:lang w:eastAsia="es-ES_tradnl"/>
        </w:rPr>
        <w:t>Zomac</w:t>
      </w:r>
      <w:proofErr w:type="spellEnd"/>
      <w:r w:rsidRPr="004E59C9">
        <w:rPr>
          <w:rStyle w:val="Hipervnculo"/>
          <w:lang w:eastAsia="es-ES_tradnl"/>
        </w:rPr>
        <w:t xml:space="preserve">, </w:t>
      </w:r>
      <w:proofErr w:type="spellStart"/>
      <w:r w:rsidRPr="004E59C9">
        <w:rPr>
          <w:rStyle w:val="Hipervnculo"/>
          <w:lang w:eastAsia="es-ES_tradnl"/>
        </w:rPr>
        <w:t>Zese</w:t>
      </w:r>
      <w:proofErr w:type="spellEnd"/>
      <w:r w:rsidRPr="004E59C9">
        <w:rPr>
          <w:rStyle w:val="Hipervnculo"/>
          <w:lang w:eastAsia="es-ES_tradnl"/>
        </w:rPr>
        <w:t xml:space="preserve"> o régimen CHC</w:t>
      </w:r>
    </w:p>
    <w:p w14:paraId="5353FDA8" w14:textId="63FC3571" w:rsidR="004E59C9" w:rsidRDefault="004E59C9">
      <w:pPr>
        <w:rPr>
          <w:lang w:eastAsia="es-ES_tradnl"/>
        </w:rPr>
      </w:pPr>
      <w:r>
        <w:rPr>
          <w:lang w:eastAsia="es-ES_tradnl"/>
        </w:rPr>
        <w:fldChar w:fldCharType="end"/>
      </w:r>
    </w:p>
    <w:p w14:paraId="08C6683D" w14:textId="3BEC318F" w:rsidR="002A29A7" w:rsidRDefault="00000000" w:rsidP="002A29A7">
      <w:hyperlink r:id="rId11" w:history="1">
        <w:r w:rsidR="002A29A7" w:rsidRPr="002A29A7">
          <w:rPr>
            <w:rStyle w:val="Hipervnculo"/>
          </w:rPr>
          <w:t xml:space="preserve">Trabajadores contratados por empresas beneficiarias </w:t>
        </w:r>
        <w:proofErr w:type="spellStart"/>
        <w:r w:rsidR="002A29A7" w:rsidRPr="002A29A7">
          <w:rPr>
            <w:rStyle w:val="Hipervnculo"/>
          </w:rPr>
          <w:t>Zomac</w:t>
        </w:r>
        <w:proofErr w:type="spellEnd"/>
        <w:r w:rsidR="002A29A7" w:rsidRPr="002A29A7">
          <w:rPr>
            <w:rStyle w:val="Hipervnculo"/>
          </w:rPr>
          <w:t>: ¿pueden residir en otros municipios?</w:t>
        </w:r>
      </w:hyperlink>
    </w:p>
    <w:p w14:paraId="70F39DEE" w14:textId="77777777" w:rsidR="002A29A7" w:rsidRPr="004E59C9" w:rsidRDefault="002A29A7"/>
    <w:sectPr w:rsidR="002A29A7" w:rsidRPr="004E59C9" w:rsidSect="001900DC">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00488A"/>
    <w:multiLevelType w:val="hybridMultilevel"/>
    <w:tmpl w:val="B734BB2E"/>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430728CE"/>
    <w:multiLevelType w:val="hybridMultilevel"/>
    <w:tmpl w:val="26561F58"/>
    <w:lvl w:ilvl="0" w:tplc="C4B04634">
      <w:start w:val="7"/>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433940939">
    <w:abstractNumId w:val="0"/>
  </w:num>
  <w:num w:numId="2" w16cid:durableId="6571960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7"/>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6250"/>
    <w:rsid w:val="00056448"/>
    <w:rsid w:val="001900DC"/>
    <w:rsid w:val="001F5811"/>
    <w:rsid w:val="002A29A7"/>
    <w:rsid w:val="002E7BE7"/>
    <w:rsid w:val="004B64A7"/>
    <w:rsid w:val="004D23BF"/>
    <w:rsid w:val="004E59C9"/>
    <w:rsid w:val="005622C2"/>
    <w:rsid w:val="0058189F"/>
    <w:rsid w:val="006563C5"/>
    <w:rsid w:val="006757C3"/>
    <w:rsid w:val="0074699C"/>
    <w:rsid w:val="00841E61"/>
    <w:rsid w:val="00891947"/>
    <w:rsid w:val="00926250"/>
    <w:rsid w:val="00AC2E16"/>
    <w:rsid w:val="00B3072B"/>
    <w:rsid w:val="00C315E3"/>
    <w:rsid w:val="00C52AFC"/>
    <w:rsid w:val="00EA26EB"/>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D7A4E"/>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Ttulo1">
    <w:name w:val="heading 1"/>
    <w:basedOn w:val="Normal"/>
    <w:link w:val="Ttulo1Car"/>
    <w:uiPriority w:val="9"/>
    <w:qFormat/>
    <w:rsid w:val="004E59C9"/>
    <w:pPr>
      <w:spacing w:before="100" w:beforeAutospacing="1" w:after="100" w:afterAutospacing="1"/>
      <w:outlineLvl w:val="0"/>
    </w:pPr>
    <w:rPr>
      <w:rFonts w:ascii="Times New Roman" w:hAnsi="Times New Roman" w:cs="Times New Roman"/>
      <w:b/>
      <w:bCs/>
      <w:kern w:val="36"/>
      <w:sz w:val="48"/>
      <w:szCs w:val="48"/>
      <w:lang w:eastAsia="es-ES_tradnl"/>
    </w:rPr>
  </w:style>
  <w:style w:type="paragraph" w:styleId="Ttulo2">
    <w:name w:val="heading 2"/>
    <w:basedOn w:val="Normal"/>
    <w:next w:val="Normal"/>
    <w:link w:val="Ttulo2Car"/>
    <w:uiPriority w:val="9"/>
    <w:unhideWhenUsed/>
    <w:qFormat/>
    <w:rsid w:val="004E59C9"/>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4D23BF"/>
    <w:pPr>
      <w:spacing w:before="100" w:beforeAutospacing="1" w:after="100" w:afterAutospacing="1"/>
    </w:pPr>
    <w:rPr>
      <w:rFonts w:ascii="Times New Roman" w:hAnsi="Times New Roman" w:cs="Times New Roman"/>
      <w:lang w:eastAsia="es-ES_tradnl"/>
    </w:rPr>
  </w:style>
  <w:style w:type="character" w:styleId="Hipervnculo">
    <w:name w:val="Hyperlink"/>
    <w:basedOn w:val="Fuentedeprrafopredeter"/>
    <w:uiPriority w:val="99"/>
    <w:unhideWhenUsed/>
    <w:rsid w:val="00056448"/>
    <w:rPr>
      <w:color w:val="0563C1" w:themeColor="hyperlink"/>
      <w:u w:val="single"/>
    </w:rPr>
  </w:style>
  <w:style w:type="table" w:styleId="Tablaconcuadrcula">
    <w:name w:val="Table Grid"/>
    <w:basedOn w:val="Tablanormal"/>
    <w:uiPriority w:val="59"/>
    <w:rsid w:val="004B64A7"/>
    <w:rPr>
      <w:rFonts w:eastAsiaTheme="minorEastAsia"/>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4B64A7"/>
    <w:pPr>
      <w:ind w:left="720"/>
      <w:contextualSpacing/>
    </w:pPr>
    <w:rPr>
      <w:rFonts w:eastAsiaTheme="minorEastAsia"/>
      <w:lang w:eastAsia="es-ES"/>
    </w:rPr>
  </w:style>
  <w:style w:type="character" w:customStyle="1" w:styleId="Ttulo1Car">
    <w:name w:val="Título 1 Car"/>
    <w:basedOn w:val="Fuentedeprrafopredeter"/>
    <w:link w:val="Ttulo1"/>
    <w:uiPriority w:val="9"/>
    <w:rsid w:val="004E59C9"/>
    <w:rPr>
      <w:rFonts w:ascii="Times New Roman" w:hAnsi="Times New Roman" w:cs="Times New Roman"/>
      <w:b/>
      <w:bCs/>
      <w:kern w:val="36"/>
      <w:sz w:val="48"/>
      <w:szCs w:val="48"/>
      <w:lang w:eastAsia="es-ES_tradnl"/>
    </w:rPr>
  </w:style>
  <w:style w:type="character" w:customStyle="1" w:styleId="Ttulo2Car">
    <w:name w:val="Título 2 Car"/>
    <w:basedOn w:val="Fuentedeprrafopredeter"/>
    <w:link w:val="Ttulo2"/>
    <w:uiPriority w:val="9"/>
    <w:rsid w:val="004E59C9"/>
    <w:rPr>
      <w:rFonts w:asciiTheme="majorHAnsi" w:eastAsiaTheme="majorEastAsia" w:hAnsiTheme="majorHAnsi" w:cstheme="majorBidi"/>
      <w:color w:val="2F5496" w:themeColor="accent1" w:themeShade="BF"/>
      <w:sz w:val="26"/>
      <w:szCs w:val="26"/>
    </w:rPr>
  </w:style>
  <w:style w:type="character" w:styleId="Mencinsinresolver">
    <w:name w:val="Unresolved Mention"/>
    <w:basedOn w:val="Fuentedeprrafopredeter"/>
    <w:uiPriority w:val="99"/>
    <w:rsid w:val="006563C5"/>
    <w:rPr>
      <w:color w:val="605E5C"/>
      <w:shd w:val="clear" w:color="auto" w:fill="E1DFDD"/>
    </w:rPr>
  </w:style>
  <w:style w:type="character" w:styleId="Hipervnculovisitado">
    <w:name w:val="FollowedHyperlink"/>
    <w:basedOn w:val="Fuentedeprrafopredeter"/>
    <w:uiPriority w:val="99"/>
    <w:semiHidden/>
    <w:unhideWhenUsed/>
    <w:rsid w:val="00C315E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827171">
      <w:bodyDiv w:val="1"/>
      <w:marLeft w:val="0"/>
      <w:marRight w:val="0"/>
      <w:marTop w:val="0"/>
      <w:marBottom w:val="0"/>
      <w:divBdr>
        <w:top w:val="none" w:sz="0" w:space="0" w:color="auto"/>
        <w:left w:val="none" w:sz="0" w:space="0" w:color="auto"/>
        <w:bottom w:val="none" w:sz="0" w:space="0" w:color="auto"/>
        <w:right w:val="none" w:sz="0" w:space="0" w:color="auto"/>
      </w:divBdr>
    </w:div>
    <w:div w:id="927079372">
      <w:bodyDiv w:val="1"/>
      <w:marLeft w:val="0"/>
      <w:marRight w:val="0"/>
      <w:marTop w:val="0"/>
      <w:marBottom w:val="0"/>
      <w:divBdr>
        <w:top w:val="none" w:sz="0" w:space="0" w:color="auto"/>
        <w:left w:val="none" w:sz="0" w:space="0" w:color="auto"/>
        <w:bottom w:val="none" w:sz="0" w:space="0" w:color="auto"/>
        <w:right w:val="none" w:sz="0" w:space="0" w:color="auto"/>
      </w:divBdr>
    </w:div>
    <w:div w:id="192233197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actualicese.com/proyecto-de-reforma-tributaria-2024-principales-novedade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normograma.dian.gov.co/dian/compilacion/docs/ley_1819_2016.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ctualicese.com/sociedades-que-podran-acogerse-a-beneficios-en-renta-dentro-de-las-zomac/" TargetMode="External"/><Relationship Id="rId11" Type="http://schemas.openxmlformats.org/officeDocument/2006/relationships/hyperlink" Target="https://actualicese.com/trabajadores-contratados-por-empresas-beneficiarias-zomac-pueden-residir-en-otros-municipios/" TargetMode="External"/><Relationship Id="rId5" Type="http://schemas.openxmlformats.org/officeDocument/2006/relationships/hyperlink" Target="https://normograma.dian.gov.co/dian/compilacion/docs/ley_1819_2016.htm" TargetMode="External"/><Relationship Id="rId10" Type="http://schemas.openxmlformats.org/officeDocument/2006/relationships/hyperlink" Target="https://normograma.dian.gov.co/dian/compilacion/docs/decreto_1625_2016.htm" TargetMode="External"/><Relationship Id="rId4" Type="http://schemas.openxmlformats.org/officeDocument/2006/relationships/webSettings" Target="webSettings.xml"/><Relationship Id="rId9" Type="http://schemas.openxmlformats.org/officeDocument/2006/relationships/hyperlink" Target="https://normograma.dian.gov.co/dian/compilacion/docs/decreto_1625_2016.htm"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1237</Words>
  <Characters>6804</Characters>
  <Application>Microsoft Office Word</Application>
  <DocSecurity>0</DocSecurity>
  <Lines>56</Lines>
  <Paragraphs>16</Paragraphs>
  <ScaleCrop>false</ScaleCrop>
  <HeadingPairs>
    <vt:vector size="4" baseType="variant">
      <vt:variant>
        <vt:lpstr>Título</vt:lpstr>
      </vt:variant>
      <vt:variant>
        <vt:i4>1</vt:i4>
      </vt:variant>
      <vt:variant>
        <vt:lpstr>Headings</vt:lpstr>
      </vt:variant>
      <vt:variant>
        <vt:i4>1</vt:i4>
      </vt:variant>
    </vt:vector>
  </HeadingPairs>
  <TitlesOfParts>
    <vt:vector size="2" baseType="lpstr">
      <vt:lpstr/>
      <vt:lpstr>    También se afectarán las autorretenciones a título de renta que se deberán pract</vt:lpstr>
    </vt:vector>
  </TitlesOfParts>
  <Company/>
  <LinksUpToDate>false</LinksUpToDate>
  <CharactersWithSpaces>8025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Microsoft Office</dc:creator>
  <cp:keywords/>
  <dc:description/>
  <cp:lastModifiedBy>diego guevara</cp:lastModifiedBy>
  <cp:revision>5</cp:revision>
  <dcterms:created xsi:type="dcterms:W3CDTF">2024-11-21T00:08:00Z</dcterms:created>
  <dcterms:modified xsi:type="dcterms:W3CDTF">2025-11-20T17:45:00Z</dcterms:modified>
</cp:coreProperties>
</file>